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5A4" w:rsidRDefault="001A45A4" w:rsidP="00A35104">
      <w:pPr>
        <w:ind w:firstLine="0"/>
      </w:pPr>
    </w:p>
    <w:p w:rsidR="00A35104" w:rsidRDefault="00A35104" w:rsidP="00A35104">
      <w:pPr>
        <w:ind w:firstLine="0"/>
      </w:pPr>
    </w:p>
    <w:p w:rsidR="00A35104" w:rsidRDefault="005B5081" w:rsidP="007A5702">
      <w:pPr>
        <w:ind w:firstLine="0"/>
        <w:jc w:val="center"/>
        <w:rPr>
          <w:b/>
        </w:rPr>
      </w:pPr>
      <w:r w:rsidRPr="007937BF">
        <w:rPr>
          <w:b/>
        </w:rPr>
        <w:t>Sensory Simulations and Experiences in Sensory Impairments</w:t>
      </w:r>
    </w:p>
    <w:p w:rsidR="007937BF" w:rsidRDefault="007937BF" w:rsidP="007A5702">
      <w:pPr>
        <w:ind w:firstLine="0"/>
        <w:jc w:val="center"/>
        <w:rPr>
          <w:b/>
        </w:rPr>
      </w:pPr>
    </w:p>
    <w:p w:rsidR="007A5702" w:rsidRDefault="007A5702" w:rsidP="007A5702">
      <w:pPr>
        <w:ind w:firstLine="0"/>
        <w:jc w:val="center"/>
        <w:rPr>
          <w:b/>
        </w:rPr>
      </w:pPr>
    </w:p>
    <w:p w:rsidR="007A5702" w:rsidRDefault="007A5702" w:rsidP="007A5702">
      <w:pPr>
        <w:ind w:firstLine="0"/>
        <w:jc w:val="center"/>
        <w:rPr>
          <w:b/>
        </w:rPr>
      </w:pPr>
    </w:p>
    <w:p w:rsidR="00A35104" w:rsidRDefault="007A5702" w:rsidP="007A5702">
      <w:pPr>
        <w:ind w:firstLine="0"/>
        <w:jc w:val="center"/>
      </w:pPr>
      <w:r>
        <w:t>Student’s name</w:t>
      </w:r>
    </w:p>
    <w:p w:rsidR="00A35104" w:rsidRDefault="007A5702" w:rsidP="007A5702">
      <w:pPr>
        <w:ind w:firstLine="0"/>
        <w:jc w:val="center"/>
      </w:pPr>
      <w:r>
        <w:t>Institution of A</w:t>
      </w:r>
      <w:r w:rsidR="005B5081">
        <w:t>ffiliation</w:t>
      </w:r>
    </w:p>
    <w:p w:rsidR="00A35104" w:rsidRDefault="007A5702" w:rsidP="007A5702">
      <w:pPr>
        <w:ind w:firstLine="0"/>
        <w:jc w:val="center"/>
      </w:pPr>
      <w:r>
        <w:t>Course code</w:t>
      </w:r>
    </w:p>
    <w:p w:rsidR="00A35104" w:rsidRDefault="007A5702" w:rsidP="007A5702">
      <w:pPr>
        <w:ind w:firstLine="0"/>
        <w:jc w:val="center"/>
      </w:pPr>
      <w:r>
        <w:t>Instructor’s name</w:t>
      </w:r>
    </w:p>
    <w:p w:rsidR="007A5702" w:rsidRDefault="007A5702" w:rsidP="007A5702">
      <w:pPr>
        <w:ind w:firstLine="0"/>
        <w:jc w:val="center"/>
      </w:pPr>
      <w:r>
        <w:t xml:space="preserve">Date </w:t>
      </w:r>
    </w:p>
    <w:p w:rsidR="00A35104" w:rsidRDefault="00A35104" w:rsidP="00A35104">
      <w:pPr>
        <w:ind w:firstLine="0"/>
      </w:pPr>
    </w:p>
    <w:p w:rsidR="001D5864" w:rsidRDefault="001D5864" w:rsidP="00A35104">
      <w:pPr>
        <w:ind w:firstLine="0"/>
      </w:pPr>
    </w:p>
    <w:p w:rsidR="001D5864" w:rsidRDefault="005B5081">
      <w:pPr>
        <w:spacing w:line="259" w:lineRule="auto"/>
        <w:ind w:firstLine="0"/>
      </w:pPr>
      <w:r>
        <w:br w:type="page"/>
      </w:r>
    </w:p>
    <w:p w:rsidR="000D6E68" w:rsidRPr="000D6E68" w:rsidRDefault="005B5081" w:rsidP="007A5702">
      <w:pPr>
        <w:ind w:firstLine="0"/>
        <w:jc w:val="center"/>
        <w:rPr>
          <w:b/>
        </w:rPr>
      </w:pPr>
      <w:r w:rsidRPr="000D6E68">
        <w:rPr>
          <w:b/>
        </w:rPr>
        <w:lastRenderedPageBreak/>
        <w:t>Sensory Simulations and Experiences in Sensory Impairments</w:t>
      </w:r>
    </w:p>
    <w:p w:rsidR="00B3537F" w:rsidRDefault="005B5081" w:rsidP="00D671D5">
      <w:r>
        <w:t xml:space="preserve">Gerontology, also known as geriatrics, is a branch of medicine that </w:t>
      </w:r>
      <w:r w:rsidR="00507449">
        <w:t xml:space="preserve">deals with </w:t>
      </w:r>
      <w:r>
        <w:t xml:space="preserve">the study of aging. </w:t>
      </w:r>
      <w:r w:rsidR="00DF2BCD">
        <w:t>Sensory functions in the body include touch, posture, sight, hearing, pain,</w:t>
      </w:r>
      <w:r w:rsidR="006D5A71">
        <w:t xml:space="preserve"> </w:t>
      </w:r>
      <w:r w:rsidR="00DF2BCD">
        <w:t xml:space="preserve">and taste. </w:t>
      </w:r>
      <w:r w:rsidR="007937BF">
        <w:t xml:space="preserve">Most people lose </w:t>
      </w:r>
      <w:r w:rsidR="00DF2BCD">
        <w:t xml:space="preserve">their sensory functions with aging. Some senses are complementary in functioning but can function alone </w:t>
      </w:r>
      <w:r w:rsidR="007A5702">
        <w:rPr>
          <w:noProof/>
        </w:rPr>
        <w:t>(Mitoku et al., 2016)</w:t>
      </w:r>
      <w:r w:rsidR="00DF2BCD">
        <w:t xml:space="preserve">. For example, hearing complements the direction in the sense of sight; however, acquiring location using the eyes can be done without hearing. </w:t>
      </w:r>
      <w:r w:rsidR="00972B26">
        <w:t>Diseases of the eye, ears, tongue, and noses that come due to age can affect the patients functioning in several ways</w:t>
      </w:r>
      <w:r w:rsidR="000D6E68">
        <w:t>, either psychologically, psychosocially, or even physically</w:t>
      </w:r>
      <w:r>
        <w:t xml:space="preserve">. </w:t>
      </w:r>
    </w:p>
    <w:p w:rsidR="001D5864" w:rsidRDefault="005B5081" w:rsidP="00D671D5">
      <w:r>
        <w:t xml:space="preserve">Sensory </w:t>
      </w:r>
      <w:r w:rsidR="006D5A71">
        <w:t>simulations examine</w:t>
      </w:r>
      <w:r>
        <w:t xml:space="preserve"> the experiences during the impairment of functions of the sensory organs. When one sense organ is impaired functionally, other organs of sense tend to replace it functions through body adaptation. This paper reports the feelings that were experienced during sensory simulations that we performed.  </w:t>
      </w:r>
    </w:p>
    <w:p w:rsidR="004F2FE1" w:rsidRPr="004F2FE1" w:rsidRDefault="005B5081" w:rsidP="007A5702">
      <w:pPr>
        <w:ind w:firstLine="0"/>
        <w:jc w:val="center"/>
        <w:rPr>
          <w:b/>
        </w:rPr>
      </w:pPr>
      <w:r w:rsidRPr="004F2FE1">
        <w:rPr>
          <w:b/>
        </w:rPr>
        <w:t>Simulation of Vision</w:t>
      </w:r>
    </w:p>
    <w:p w:rsidR="004F2FE1" w:rsidRDefault="005B5081" w:rsidP="00D671D5">
      <w:r>
        <w:t xml:space="preserve">During these sessions, I had a chance to </w:t>
      </w:r>
      <w:r w:rsidR="003C5BD6">
        <w:t xml:space="preserve">virtually </w:t>
      </w:r>
      <w:r>
        <w:t>experience what people with glaucoma, macular degeneration, floaters, and cataracts.</w:t>
      </w:r>
    </w:p>
    <w:p w:rsidR="004F2FE1" w:rsidRDefault="005B5081" w:rsidP="00D671D5">
      <w:r>
        <w:t>Glaucoma</w:t>
      </w:r>
      <w:r w:rsidR="00F4164B">
        <w:t xml:space="preserve">: </w:t>
      </w:r>
      <w:r>
        <w:t>I could not see the objects at t</w:t>
      </w:r>
      <w:r w:rsidR="003C5BD6">
        <w:t>he periphery</w:t>
      </w:r>
      <w:r>
        <w:t xml:space="preserve">. My eyes seemed </w:t>
      </w:r>
      <w:r w:rsidR="00374C08">
        <w:t>too</w:t>
      </w:r>
      <w:r>
        <w:t xml:space="preserve"> focused more on the items that I looked at straightly. </w:t>
      </w:r>
      <w:r w:rsidR="00374C08">
        <w:t>However, the central objects were also not clear.</w:t>
      </w:r>
    </w:p>
    <w:p w:rsidR="00374C08" w:rsidRDefault="005B5081" w:rsidP="00D671D5">
      <w:r>
        <w:t>Cataracts</w:t>
      </w:r>
      <w:r w:rsidR="00F4164B">
        <w:t xml:space="preserve">: </w:t>
      </w:r>
      <w:r w:rsidR="00BB46AB">
        <w:t xml:space="preserve">The central field had a whitish cloud that was blocking the actual objects in the foreground. Even with moving my eyes sideways, the cloud keeps following. I could not get rid of it, </w:t>
      </w:r>
      <w:r w:rsidR="00525D19">
        <w:t>but</w:t>
      </w:r>
      <w:r w:rsidR="00BB46AB">
        <w:t xml:space="preserve"> it kept shaking irregularly. </w:t>
      </w:r>
    </w:p>
    <w:p w:rsidR="00525D19" w:rsidRDefault="005B5081" w:rsidP="00D671D5">
      <w:r>
        <w:lastRenderedPageBreak/>
        <w:t>Macular degeneration</w:t>
      </w:r>
      <w:r w:rsidR="00F4164B">
        <w:t xml:space="preserve">: </w:t>
      </w:r>
      <w:r>
        <w:t xml:space="preserve">The central area was blurry. The blur was regular in shape, ovoid. </w:t>
      </w:r>
      <w:r w:rsidR="0085346E">
        <w:t>The peripheral regions were clearer than the central, however, not clear</w:t>
      </w:r>
      <w:r w:rsidR="00AC0EBE">
        <w:t>. The central blur was such that I could n</w:t>
      </w:r>
      <w:r w:rsidR="00AA56B8">
        <w:t xml:space="preserve">ot identify the objects behind, even their shapes. </w:t>
      </w:r>
    </w:p>
    <w:p w:rsidR="007A5702" w:rsidRDefault="005B5081" w:rsidP="007A5702">
      <w:r>
        <w:t>Floaters</w:t>
      </w:r>
      <w:r w:rsidR="00F4164B">
        <w:t xml:space="preserve">: </w:t>
      </w:r>
      <w:r>
        <w:t>The whole appeared like a field decorated for Christmas. There were annoying objects, mostly in the peripheral areas. Some of them were shining like light bulbs. These floating objects</w:t>
      </w:r>
      <w:r w:rsidR="005E1D54">
        <w:t xml:space="preserve"> kept moving randomly in the fi</w:t>
      </w:r>
      <w:r>
        <w:t>e</w:t>
      </w:r>
      <w:r w:rsidR="005E1D54">
        <w:t>l</w:t>
      </w:r>
      <w:r>
        <w:t xml:space="preserve">ds. </w:t>
      </w:r>
    </w:p>
    <w:p w:rsidR="00AA56B8" w:rsidRPr="007A5702" w:rsidRDefault="005B5081" w:rsidP="007A5702">
      <w:pPr>
        <w:ind w:firstLine="0"/>
        <w:jc w:val="center"/>
      </w:pPr>
      <w:r w:rsidRPr="005E1D54">
        <w:rPr>
          <w:b/>
        </w:rPr>
        <w:t>Hearing stimulation</w:t>
      </w:r>
    </w:p>
    <w:p w:rsidR="00AA56B8" w:rsidRDefault="005B5081" w:rsidP="00D671D5">
      <w:proofErr w:type="spellStart"/>
      <w:r>
        <w:t>Presbycusis</w:t>
      </w:r>
      <w:proofErr w:type="spellEnd"/>
      <w:r>
        <w:t xml:space="preserve">: with </w:t>
      </w:r>
      <w:proofErr w:type="spellStart"/>
      <w:r>
        <w:t>presbycusis</w:t>
      </w:r>
      <w:proofErr w:type="spellEnd"/>
      <w:r>
        <w:t xml:space="preserve">, the sound kept diminishing from mild to severe. I </w:t>
      </w:r>
      <w:r w:rsidR="005E1D54">
        <w:t>could h</w:t>
      </w:r>
      <w:r>
        <w:t xml:space="preserve">ear the </w:t>
      </w:r>
      <w:r w:rsidR="005E1D54">
        <w:t>background music with a mild level, but with intense, the music was nearly absent. Sometimes, I could not hear anything at all.</w:t>
      </w:r>
    </w:p>
    <w:p w:rsidR="007A5702" w:rsidRDefault="005B5081" w:rsidP="007A5702">
      <w:r>
        <w:t xml:space="preserve">With tinnitus, there was a constant annoying ringing </w:t>
      </w:r>
      <w:r w:rsidR="007A5702">
        <w:t>sound</w:t>
      </w:r>
      <w:r>
        <w:t xml:space="preserve"> in the background. The sounds increased in pitch and volume with increasing severity from mild to severe tinnitus. The sounds were becoming louder than the music with severe tinnitus.</w:t>
      </w:r>
    </w:p>
    <w:p w:rsidR="005E1D54" w:rsidRPr="007A5702" w:rsidRDefault="005B5081" w:rsidP="007A5702">
      <w:pPr>
        <w:ind w:firstLine="0"/>
        <w:jc w:val="center"/>
      </w:pPr>
      <w:r w:rsidRPr="00F4164B">
        <w:rPr>
          <w:b/>
        </w:rPr>
        <w:t>Mobility Simulations</w:t>
      </w:r>
    </w:p>
    <w:p w:rsidR="005E1D54" w:rsidRDefault="005B5081" w:rsidP="00D671D5">
      <w:r>
        <w:t xml:space="preserve">When I </w:t>
      </w:r>
      <w:r w:rsidR="00C861D2">
        <w:t xml:space="preserve">did </w:t>
      </w:r>
      <w:r>
        <w:t xml:space="preserve">the tests with mild and mild arthritis, I could move four of the six items. With severe arthritis, I could not move any object at all.  When I tried with mild and moderate hand tremors, I </w:t>
      </w:r>
      <w:r w:rsidR="003C5BD6">
        <w:t>could carry three things to the shelf, but I could not move any object up with severe hand tremors. The objects I could move were smaller in size. I could move all items to either shelf with moderate muscle loss, but I could not move any item up the shelves with mild to severe muscle loss.</w:t>
      </w:r>
    </w:p>
    <w:p w:rsidR="005E1D54" w:rsidRPr="00C861D2" w:rsidRDefault="005B5081" w:rsidP="007A5702">
      <w:pPr>
        <w:ind w:firstLine="0"/>
        <w:jc w:val="center"/>
        <w:rPr>
          <w:b/>
        </w:rPr>
      </w:pPr>
      <w:r w:rsidRPr="00C861D2">
        <w:rPr>
          <w:b/>
        </w:rPr>
        <w:t>Tastes simulations</w:t>
      </w:r>
    </w:p>
    <w:p w:rsidR="00C861D2" w:rsidRDefault="005B5081" w:rsidP="00D671D5">
      <w:r>
        <w:lastRenderedPageBreak/>
        <w:t xml:space="preserve">In this section, I was assisted with my brother. </w:t>
      </w:r>
      <w:r w:rsidR="00533CEF">
        <w:t xml:space="preserve">We availed five food types for the experiment. We changed roles between the feeder and recipient and reported the experiences.  When I started feeding the brother, he began resisting the use of the spoon. He asked to know the type of food I was about to give. I had to reassure him that it is not a bitter food or any peppered food. The rate of feeding was slower in the beginning but improved with time. It did not reach the speeds he always does when feeding alone. </w:t>
      </w:r>
      <w:r w:rsidR="00031161">
        <w:t>He tried</w:t>
      </w:r>
      <w:r w:rsidR="00533CEF">
        <w:t xml:space="preserve"> to use his hands to take the food to the mouth at some points, but I refused. </w:t>
      </w:r>
      <w:r w:rsidR="00922E20">
        <w:t xml:space="preserve">He initially </w:t>
      </w:r>
      <w:proofErr w:type="gramStart"/>
      <w:r w:rsidR="00922E20">
        <w:t>hesitated</w:t>
      </w:r>
      <w:proofErr w:type="gramEnd"/>
      <w:r w:rsidR="00922E20">
        <w:t xml:space="preserve"> the experiment, but I encouraged him to participate. He preferred small amounts of food to full spoon quantities that he could take when eating by himself. </w:t>
      </w:r>
      <w:r w:rsidR="00040F88">
        <w:t>Generally, feeding him was quite tedious because of his hesitations, and sometimes there were incidences of choking by food.</w:t>
      </w:r>
    </w:p>
    <w:p w:rsidR="00040F88" w:rsidRDefault="005B5081" w:rsidP="00D671D5">
      <w:r>
        <w:t xml:space="preserve">It was his turn to reciprocate what I did to him. He was unwilling to feed me, but I reminded him that it is for this experiment's purposes. So he was to assume that I was blind and I could not use my hands. I realized that I had to tastes the food first by trying to sip it. I was tempted to take the food by myself to my mouth. I had to keep the food in my mouth to ensure there were no hard particles in the soup. I had to gauge the temperature and taste before chewing and swallowing. </w:t>
      </w:r>
      <w:r w:rsidR="00207A32">
        <w:t>I could try to see the food through the blindfold, but this could not happen. Therefore, the rate of feeding was slower, and the general experience was not cool with me at all. There was fast satiation from the food that was abnormal.</w:t>
      </w:r>
    </w:p>
    <w:p w:rsidR="00207A32" w:rsidRPr="001345A6" w:rsidRDefault="005B5081" w:rsidP="007A5702">
      <w:pPr>
        <w:ind w:firstLine="0"/>
        <w:jc w:val="center"/>
        <w:rPr>
          <w:b/>
        </w:rPr>
      </w:pPr>
      <w:r w:rsidRPr="001345A6">
        <w:rPr>
          <w:b/>
        </w:rPr>
        <w:t>Effects of Blindness and Lack of Use of Hands on a Patient</w:t>
      </w:r>
    </w:p>
    <w:p w:rsidR="001345A6" w:rsidRDefault="005B5081" w:rsidP="00D671D5">
      <w:r>
        <w:t>The impacts of vision loss are felt by the society and the family of the individual as well. The effects can be social, personal, and psychological. With the additional loss of hand function, the impacts can be devastating to the life of the individual</w:t>
      </w:r>
      <w:sdt>
        <w:sdtPr>
          <w:id w:val="-1061711374"/>
          <w:citation/>
        </w:sdtPr>
        <w:sdtEndPr/>
        <w:sdtContent>
          <w:r w:rsidR="000932C8">
            <w:fldChar w:fldCharType="begin"/>
          </w:r>
          <w:r w:rsidR="000932C8">
            <w:instrText xml:space="preserve"> CITATION Nat16 \l 1033 </w:instrText>
          </w:r>
          <w:r w:rsidR="000932C8">
            <w:fldChar w:fldCharType="separate"/>
          </w:r>
          <w:r w:rsidR="00415B5F">
            <w:rPr>
              <w:noProof/>
            </w:rPr>
            <w:t xml:space="preserve"> (National Academies of Sciences, Engineering, and Medicine; Health and Medicine Division; Board on Population Health and </w:t>
          </w:r>
          <w:r w:rsidR="00415B5F">
            <w:rPr>
              <w:noProof/>
            </w:rPr>
            <w:lastRenderedPageBreak/>
            <w:t>Public Health Practice; Committee on Public Health Approaches to Reduce Vision Impairment and Promote Eye Health, 2016)</w:t>
          </w:r>
          <w:r w:rsidR="000932C8">
            <w:fldChar w:fldCharType="end"/>
          </w:r>
        </w:sdtContent>
      </w:sdt>
      <w:r>
        <w:t>. A person who was initially working but lost his sight and hands will automatically lose the job. The loss of employment can cause depression and economic impacts on the individual's family</w:t>
      </w:r>
      <w:r w:rsidR="007F35BB">
        <w:t xml:space="preserve">. The affected individual will depend on other family members for many aids. </w:t>
      </w:r>
      <w:r>
        <w:t xml:space="preserve"> </w:t>
      </w:r>
      <w:r w:rsidR="007F35BB">
        <w:t>An individual with vision loss has to use aids while standing up or walking. The loss reduces their production</w:t>
      </w:r>
      <w:r w:rsidR="007A5702">
        <w:rPr>
          <w:noProof/>
        </w:rPr>
        <w:t xml:space="preserve"> (Sozzi et al., 2018)</w:t>
      </w:r>
      <w:r w:rsidR="007F35BB">
        <w:t xml:space="preserve">. Ranges of work that they can do </w:t>
      </w:r>
      <w:r w:rsidR="00787A0C">
        <w:t>are</w:t>
      </w:r>
      <w:r w:rsidR="007F35BB">
        <w:t xml:space="preserve"> limited.  </w:t>
      </w:r>
    </w:p>
    <w:p w:rsidR="000932C8" w:rsidRPr="000932C8" w:rsidRDefault="005B5081" w:rsidP="007A5702">
      <w:pPr>
        <w:ind w:firstLine="0"/>
        <w:jc w:val="center"/>
        <w:rPr>
          <w:b/>
        </w:rPr>
      </w:pPr>
      <w:r w:rsidRPr="000932C8">
        <w:rPr>
          <w:b/>
        </w:rPr>
        <w:t>Conclusion</w:t>
      </w:r>
    </w:p>
    <w:p w:rsidR="000932C8" w:rsidRDefault="005B5081" w:rsidP="00D671D5">
      <w:r>
        <w:t xml:space="preserve">Sensory simulations aid normal people feel what people with abnormal senses feel. These tests can be used to learn and appreciate sensory impairments. By understanding the impairments, the diseases can be managed. Vision loss of note has health, social and economic impacts on an individual. The loss </w:t>
      </w:r>
      <w:r w:rsidR="007F35BB">
        <w:t>reduces their quality of life.</w:t>
      </w:r>
    </w:p>
    <w:p w:rsidR="007F35BB" w:rsidRDefault="005B5081">
      <w:pPr>
        <w:spacing w:line="259" w:lineRule="auto"/>
        <w:ind w:firstLine="0"/>
      </w:pPr>
      <w:r>
        <w:br w:type="page"/>
      </w:r>
      <w:bookmarkStart w:id="0" w:name="_GoBack"/>
      <w:bookmarkEnd w:id="0"/>
    </w:p>
    <w:sdt>
      <w:sdtPr>
        <w:rPr>
          <w:rFonts w:ascii="Times New Roman" w:eastAsiaTheme="minorHAnsi" w:hAnsi="Times New Roman" w:cstheme="minorBidi"/>
          <w:color w:val="auto"/>
          <w:sz w:val="24"/>
          <w:szCs w:val="22"/>
        </w:rPr>
        <w:id w:val="-1573963211"/>
        <w:docPartObj>
          <w:docPartGallery w:val="Bibliographies"/>
          <w:docPartUnique/>
        </w:docPartObj>
      </w:sdtPr>
      <w:sdtEndPr/>
      <w:sdtContent>
        <w:p w:rsidR="007F35BB" w:rsidRPr="004F5344" w:rsidRDefault="007A5702" w:rsidP="007A5702">
          <w:pPr>
            <w:pStyle w:val="Heading1"/>
            <w:jc w:val="center"/>
            <w:rPr>
              <w:rFonts w:ascii="Times New Roman" w:hAnsi="Times New Roman" w:cs="Times New Roman"/>
              <w:color w:val="auto"/>
              <w:sz w:val="24"/>
              <w:szCs w:val="24"/>
            </w:rPr>
          </w:pPr>
          <w:r w:rsidRPr="004F5344">
            <w:rPr>
              <w:rFonts w:ascii="Times New Roman" w:hAnsi="Times New Roman" w:cs="Times New Roman"/>
              <w:color w:val="auto"/>
              <w:sz w:val="24"/>
              <w:szCs w:val="24"/>
            </w:rPr>
            <w:t>References</w:t>
          </w:r>
        </w:p>
        <w:sdt>
          <w:sdtPr>
            <w:id w:val="-573587230"/>
            <w:bibliography/>
          </w:sdtPr>
          <w:sdtEndPr/>
          <w:sdtContent>
            <w:p w:rsidR="00415B5F" w:rsidRDefault="005B5081" w:rsidP="00415B5F">
              <w:pPr>
                <w:pStyle w:val="Bibliography"/>
                <w:ind w:left="720" w:hanging="720"/>
                <w:rPr>
                  <w:noProof/>
                  <w:szCs w:val="24"/>
                </w:rPr>
              </w:pPr>
              <w:r>
                <w:fldChar w:fldCharType="begin"/>
              </w:r>
              <w:r>
                <w:instrText xml:space="preserve"> BIBLIOGRAPHY </w:instrText>
              </w:r>
              <w:r>
                <w:fldChar w:fldCharType="separate"/>
              </w:r>
              <w:r>
                <w:rPr>
                  <w:noProof/>
                </w:rPr>
                <w:t xml:space="preserve">Mitoku, K., Masaki, N., Ogata, Y., &amp; Okamoto, K. (2016). Vision and hearing impairments, cognitive impairment, and mortality among long-term care recipients: a population-based cohort study. </w:t>
              </w:r>
              <w:r>
                <w:rPr>
                  <w:i/>
                  <w:iCs/>
                  <w:noProof/>
                </w:rPr>
                <w:t>BMC Geriatr, 16</w:t>
              </w:r>
              <w:r>
                <w:rPr>
                  <w:noProof/>
                </w:rPr>
                <w:t>(112). doi:https://doi.org/10.1186/s12877-016-0286-2</w:t>
              </w:r>
            </w:p>
            <w:p w:rsidR="00415B5F" w:rsidRDefault="005B5081" w:rsidP="00415B5F">
              <w:pPr>
                <w:pStyle w:val="Bibliography"/>
                <w:ind w:left="720" w:hanging="720"/>
                <w:rPr>
                  <w:noProof/>
                </w:rPr>
              </w:pPr>
              <w:r>
                <w:rPr>
                  <w:noProof/>
                </w:rPr>
                <w:t xml:space="preserve">National Academies of Sciences, Engineering, and Medicine; Health and Medicine Division; Board on Population Health and Public Health Practice; Committee on Public Health Approaches to Reduce Vision Impairment and Promote Eye Health. (2016). Making Eye Health a Population Health Imperative: Vision for Tomorrow. In W. A, W. RB, &amp; M. MA, </w:t>
              </w:r>
              <w:r>
                <w:rPr>
                  <w:i/>
                  <w:iCs/>
                  <w:noProof/>
                </w:rPr>
                <w:t>The Impact of Vision Loss</w:t>
              </w:r>
              <w:r>
                <w:rPr>
                  <w:noProof/>
                </w:rPr>
                <w:t xml:space="preserve"> (p. 3). Washington, DC: National Academies Press (US);. Retrieved from https://www.ncbi.nlm.nih.gov/books/NBK402367/ </w:t>
              </w:r>
            </w:p>
            <w:p w:rsidR="00415B5F" w:rsidRDefault="005B5081" w:rsidP="00415B5F">
              <w:pPr>
                <w:pStyle w:val="Bibliography"/>
                <w:ind w:left="720" w:hanging="720"/>
                <w:rPr>
                  <w:noProof/>
                </w:rPr>
              </w:pPr>
              <w:r>
                <w:rPr>
                  <w:noProof/>
                </w:rPr>
                <w:t xml:space="preserve">Sozzi, S., Decortes, F., Schmid, M., Crisafulli, O., &amp; Schieppati, M. (2018). Balance in Blind Subjects: Cane and Fingertip Touch Induce Similar Extent and Promptness of Stance Stabilization. </w:t>
              </w:r>
              <w:r>
                <w:rPr>
                  <w:i/>
                  <w:iCs/>
                  <w:noProof/>
                </w:rPr>
                <w:t>Frontiers in Neuroscience, 12</w:t>
              </w:r>
              <w:r>
                <w:rPr>
                  <w:noProof/>
                </w:rPr>
                <w:t>, 638. doi:https://doi.org/10.3389/fnins.2018.00639</w:t>
              </w:r>
            </w:p>
            <w:p w:rsidR="007F35BB" w:rsidRDefault="005B5081" w:rsidP="00415B5F">
              <w:r>
                <w:rPr>
                  <w:b/>
                  <w:bCs/>
                  <w:noProof/>
                </w:rPr>
                <w:fldChar w:fldCharType="end"/>
              </w:r>
            </w:p>
          </w:sdtContent>
        </w:sdt>
      </w:sdtContent>
    </w:sdt>
    <w:p w:rsidR="007F35BB" w:rsidRDefault="007F35BB" w:rsidP="00D671D5"/>
    <w:p w:rsidR="001345A6" w:rsidRDefault="001345A6" w:rsidP="00D671D5"/>
    <w:sectPr w:rsidR="001345A6" w:rsidSect="007A5702">
      <w:headerReference w:type="default" r:id="rId9"/>
      <w:headerReference w:type="firs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160" w:rsidRDefault="00070160">
      <w:pPr>
        <w:spacing w:after="0" w:line="240" w:lineRule="auto"/>
      </w:pPr>
      <w:r>
        <w:separator/>
      </w:r>
    </w:p>
  </w:endnote>
  <w:endnote w:type="continuationSeparator" w:id="0">
    <w:p w:rsidR="00070160" w:rsidRDefault="00070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160" w:rsidRDefault="00070160">
      <w:pPr>
        <w:spacing w:after="0" w:line="240" w:lineRule="auto"/>
      </w:pPr>
      <w:r>
        <w:separator/>
      </w:r>
    </w:p>
  </w:footnote>
  <w:footnote w:type="continuationSeparator" w:id="0">
    <w:p w:rsidR="00070160" w:rsidRDefault="000701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537328"/>
      <w:docPartObj>
        <w:docPartGallery w:val="Page Numbers (Top of Page)"/>
        <w:docPartUnique/>
      </w:docPartObj>
    </w:sdtPr>
    <w:sdtEndPr>
      <w:rPr>
        <w:noProof/>
      </w:rPr>
    </w:sdtEndPr>
    <w:sdtContent>
      <w:p w:rsidR="007A5702" w:rsidRDefault="007A5702">
        <w:pPr>
          <w:pStyle w:val="Header"/>
          <w:jc w:val="right"/>
        </w:pPr>
        <w:r>
          <w:fldChar w:fldCharType="begin"/>
        </w:r>
        <w:r>
          <w:instrText xml:space="preserve"> PAGE   \* MERGEFORMAT </w:instrText>
        </w:r>
        <w:r>
          <w:fldChar w:fldCharType="separate"/>
        </w:r>
        <w:r w:rsidR="004F5344">
          <w:rPr>
            <w:noProof/>
          </w:rPr>
          <w:t>5</w:t>
        </w:r>
        <w:r>
          <w:rPr>
            <w:noProof/>
          </w:rPr>
          <w:fldChar w:fldCharType="end"/>
        </w:r>
      </w:p>
    </w:sdtContent>
  </w:sdt>
  <w:p w:rsidR="00A35104" w:rsidRDefault="00A351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104" w:rsidRDefault="005B5081" w:rsidP="00A35104">
    <w:pPr>
      <w:pStyle w:val="Header"/>
      <w:ind w:firstLine="0"/>
    </w:pPr>
    <w:r>
      <w:t>Running head: Sensory Simulations</w:t>
    </w:r>
    <w:r>
      <w:tab/>
    </w:r>
    <w:r>
      <w:tab/>
    </w:r>
    <w:sdt>
      <w:sdtPr>
        <w:id w:val="-10627989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A5702">
          <w:rPr>
            <w:noProof/>
          </w:rPr>
          <w:t>1</w:t>
        </w:r>
        <w:r>
          <w:rPr>
            <w:noProof/>
          </w:rPr>
          <w:fldChar w:fldCharType="end"/>
        </w:r>
      </w:sdtContent>
    </w:sdt>
  </w:p>
  <w:p w:rsidR="00A35104" w:rsidRDefault="00A35104" w:rsidP="00A35104">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554E6"/>
    <w:multiLevelType w:val="hybridMultilevel"/>
    <w:tmpl w:val="63E23602"/>
    <w:lvl w:ilvl="0" w:tplc="0646FFB4">
      <w:start w:val="1"/>
      <w:numFmt w:val="decimal"/>
      <w:lvlText w:val="%1."/>
      <w:lvlJc w:val="left"/>
      <w:pPr>
        <w:ind w:left="720" w:hanging="360"/>
      </w:pPr>
    </w:lvl>
    <w:lvl w:ilvl="1" w:tplc="50622E3C" w:tentative="1">
      <w:start w:val="1"/>
      <w:numFmt w:val="lowerLetter"/>
      <w:lvlText w:val="%2."/>
      <w:lvlJc w:val="left"/>
      <w:pPr>
        <w:ind w:left="1440" w:hanging="360"/>
      </w:pPr>
    </w:lvl>
    <w:lvl w:ilvl="2" w:tplc="3FA616B0" w:tentative="1">
      <w:start w:val="1"/>
      <w:numFmt w:val="lowerRoman"/>
      <w:lvlText w:val="%3."/>
      <w:lvlJc w:val="right"/>
      <w:pPr>
        <w:ind w:left="2160" w:hanging="180"/>
      </w:pPr>
    </w:lvl>
    <w:lvl w:ilvl="3" w:tplc="E4EE289C" w:tentative="1">
      <w:start w:val="1"/>
      <w:numFmt w:val="decimal"/>
      <w:lvlText w:val="%4."/>
      <w:lvlJc w:val="left"/>
      <w:pPr>
        <w:ind w:left="2880" w:hanging="360"/>
      </w:pPr>
    </w:lvl>
    <w:lvl w:ilvl="4" w:tplc="3F225408" w:tentative="1">
      <w:start w:val="1"/>
      <w:numFmt w:val="lowerLetter"/>
      <w:lvlText w:val="%5."/>
      <w:lvlJc w:val="left"/>
      <w:pPr>
        <w:ind w:left="3600" w:hanging="360"/>
      </w:pPr>
    </w:lvl>
    <w:lvl w:ilvl="5" w:tplc="277E7608" w:tentative="1">
      <w:start w:val="1"/>
      <w:numFmt w:val="lowerRoman"/>
      <w:lvlText w:val="%6."/>
      <w:lvlJc w:val="right"/>
      <w:pPr>
        <w:ind w:left="4320" w:hanging="180"/>
      </w:pPr>
    </w:lvl>
    <w:lvl w:ilvl="6" w:tplc="B342597E" w:tentative="1">
      <w:start w:val="1"/>
      <w:numFmt w:val="decimal"/>
      <w:lvlText w:val="%7."/>
      <w:lvlJc w:val="left"/>
      <w:pPr>
        <w:ind w:left="5040" w:hanging="360"/>
      </w:pPr>
    </w:lvl>
    <w:lvl w:ilvl="7" w:tplc="8F9866D0" w:tentative="1">
      <w:start w:val="1"/>
      <w:numFmt w:val="lowerLetter"/>
      <w:lvlText w:val="%8."/>
      <w:lvlJc w:val="left"/>
      <w:pPr>
        <w:ind w:left="5760" w:hanging="360"/>
      </w:pPr>
    </w:lvl>
    <w:lvl w:ilvl="8" w:tplc="B2B8B0F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5A4"/>
    <w:rsid w:val="00031161"/>
    <w:rsid w:val="00040F88"/>
    <w:rsid w:val="00070160"/>
    <w:rsid w:val="000932C8"/>
    <w:rsid w:val="000D6E68"/>
    <w:rsid w:val="001345A6"/>
    <w:rsid w:val="001A45A4"/>
    <w:rsid w:val="001D5864"/>
    <w:rsid w:val="00207A32"/>
    <w:rsid w:val="003353A0"/>
    <w:rsid w:val="00374C08"/>
    <w:rsid w:val="003C5BD6"/>
    <w:rsid w:val="00415B5F"/>
    <w:rsid w:val="004F2FE1"/>
    <w:rsid w:val="004F5344"/>
    <w:rsid w:val="00507449"/>
    <w:rsid w:val="00525D19"/>
    <w:rsid w:val="00533CEF"/>
    <w:rsid w:val="005B5081"/>
    <w:rsid w:val="005E1D54"/>
    <w:rsid w:val="0068537B"/>
    <w:rsid w:val="006D5A71"/>
    <w:rsid w:val="00787A0C"/>
    <w:rsid w:val="007937BF"/>
    <w:rsid w:val="007A5702"/>
    <w:rsid w:val="007F35BB"/>
    <w:rsid w:val="0085346E"/>
    <w:rsid w:val="008A10C1"/>
    <w:rsid w:val="00922E20"/>
    <w:rsid w:val="00972B26"/>
    <w:rsid w:val="00A35104"/>
    <w:rsid w:val="00AA56B8"/>
    <w:rsid w:val="00AC0EBE"/>
    <w:rsid w:val="00AC4FCF"/>
    <w:rsid w:val="00B3537F"/>
    <w:rsid w:val="00BB46AB"/>
    <w:rsid w:val="00C861D2"/>
    <w:rsid w:val="00D671D5"/>
    <w:rsid w:val="00DF2BCD"/>
    <w:rsid w:val="00F16F52"/>
    <w:rsid w:val="00F41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104"/>
    <w:pPr>
      <w:spacing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7F35BB"/>
    <w:pPr>
      <w:keepNext/>
      <w:keepLines/>
      <w:spacing w:before="240" w:after="0" w:line="259" w:lineRule="auto"/>
      <w:ind w:firstLine="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5A4"/>
    <w:pPr>
      <w:ind w:left="720"/>
      <w:contextualSpacing/>
    </w:pPr>
  </w:style>
  <w:style w:type="paragraph" w:styleId="Header">
    <w:name w:val="header"/>
    <w:basedOn w:val="Normal"/>
    <w:link w:val="HeaderChar"/>
    <w:uiPriority w:val="99"/>
    <w:unhideWhenUsed/>
    <w:rsid w:val="00A35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104"/>
    <w:rPr>
      <w:rFonts w:ascii="Times New Roman" w:hAnsi="Times New Roman"/>
      <w:sz w:val="24"/>
    </w:rPr>
  </w:style>
  <w:style w:type="paragraph" w:styleId="Footer">
    <w:name w:val="footer"/>
    <w:basedOn w:val="Normal"/>
    <w:link w:val="FooterChar"/>
    <w:uiPriority w:val="99"/>
    <w:unhideWhenUsed/>
    <w:rsid w:val="00A35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104"/>
    <w:rPr>
      <w:rFonts w:ascii="Times New Roman" w:hAnsi="Times New Roman"/>
      <w:sz w:val="24"/>
    </w:rPr>
  </w:style>
  <w:style w:type="character" w:customStyle="1" w:styleId="Heading1Char">
    <w:name w:val="Heading 1 Char"/>
    <w:basedOn w:val="DefaultParagraphFont"/>
    <w:link w:val="Heading1"/>
    <w:uiPriority w:val="9"/>
    <w:rsid w:val="007F35B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F35BB"/>
  </w:style>
  <w:style w:type="paragraph" w:styleId="BalloonText">
    <w:name w:val="Balloon Text"/>
    <w:basedOn w:val="Normal"/>
    <w:link w:val="BalloonTextChar"/>
    <w:uiPriority w:val="99"/>
    <w:semiHidden/>
    <w:unhideWhenUsed/>
    <w:rsid w:val="007A5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7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104"/>
    <w:pPr>
      <w:spacing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7F35BB"/>
    <w:pPr>
      <w:keepNext/>
      <w:keepLines/>
      <w:spacing w:before="240" w:after="0" w:line="259" w:lineRule="auto"/>
      <w:ind w:firstLine="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5A4"/>
    <w:pPr>
      <w:ind w:left="720"/>
      <w:contextualSpacing/>
    </w:pPr>
  </w:style>
  <w:style w:type="paragraph" w:styleId="Header">
    <w:name w:val="header"/>
    <w:basedOn w:val="Normal"/>
    <w:link w:val="HeaderChar"/>
    <w:uiPriority w:val="99"/>
    <w:unhideWhenUsed/>
    <w:rsid w:val="00A35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104"/>
    <w:rPr>
      <w:rFonts w:ascii="Times New Roman" w:hAnsi="Times New Roman"/>
      <w:sz w:val="24"/>
    </w:rPr>
  </w:style>
  <w:style w:type="paragraph" w:styleId="Footer">
    <w:name w:val="footer"/>
    <w:basedOn w:val="Normal"/>
    <w:link w:val="FooterChar"/>
    <w:uiPriority w:val="99"/>
    <w:unhideWhenUsed/>
    <w:rsid w:val="00A35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104"/>
    <w:rPr>
      <w:rFonts w:ascii="Times New Roman" w:hAnsi="Times New Roman"/>
      <w:sz w:val="24"/>
    </w:rPr>
  </w:style>
  <w:style w:type="character" w:customStyle="1" w:styleId="Heading1Char">
    <w:name w:val="Heading 1 Char"/>
    <w:basedOn w:val="DefaultParagraphFont"/>
    <w:link w:val="Heading1"/>
    <w:uiPriority w:val="9"/>
    <w:rsid w:val="007F35B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F35BB"/>
  </w:style>
  <w:style w:type="paragraph" w:styleId="BalloonText">
    <w:name w:val="Balloon Text"/>
    <w:basedOn w:val="Normal"/>
    <w:link w:val="BalloonTextChar"/>
    <w:uiPriority w:val="99"/>
    <w:semiHidden/>
    <w:unhideWhenUsed/>
    <w:rsid w:val="007A5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7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Nat16</b:Tag>
    <b:SourceType>BookSection</b:SourceType>
    <b:Guid>{313EAA06-5638-4739-8DB9-7977487AB191}</b:Guid>
    <b:Title>Making Eye Health a Population Health Imperative: Vision for Tomorrow.</b:Title>
    <b:Year>2016</b:Year>
    <b:Pages>3</b:Pages>
    <b:Author>
      <b:Author>
        <b:Corporate>National Academies of Sciences, Engineering, and Medicine; Health and Medicine Division; Board on Population Health and Public Health Practice; Committee on Public Health Approaches to Reduce Vision Impairment and Promote Eye Health</b:Corporate>
      </b:Author>
      <b:BookAuthor>
        <b:NameList>
          <b:Person>
            <b:Last>A</b:Last>
            <b:First>Welp</b:First>
          </b:Person>
          <b:Person>
            <b:Last>RB</b:Last>
            <b:First>Woodbury</b:First>
          </b:Person>
          <b:Person>
            <b:Last>MA</b:Last>
            <b:First>McCoy</b:First>
          </b:Person>
        </b:NameList>
      </b:BookAuthor>
    </b:Author>
    <b:BookTitle>The Impact of Vision Loss</b:BookTitle>
    <b:City>Washington DC</b:City>
    <b:Publisher>National Academies Press (US);</b:Publisher>
    <b:URL>https://www.ncbi.nlm.nih.gov/books/NBK402367/</b:URL>
    <b:RefOrder>2</b:RefOrder>
  </b:Source>
  <b:Source>
    <b:Tag>Ste18</b:Tag>
    <b:SourceType>JournalArticle</b:SourceType>
    <b:Guid>{303E4860-A15A-4130-A9A2-DE6FEFFACB43}</b:Guid>
    <b:Title>Balance in Blind Subjects: Cane and Fingertip Touch Induce Similar Extent and Promptness of Stance Stabilization</b:Title>
    <b:Year>2018</b:Year>
    <b:Pages>638</b:Pages>
    <b:Volume>12</b:Volume>
    <b:URL>https://www.frontiersin.org/articles/10.3389/fnins.2018.00639/full</b:URL>
    <b:DOI>https://doi.org/10.3389/fnins.2018.00639</b:DOI>
    <b:Author>
      <b:Author>
        <b:NameList>
          <b:Person>
            <b:Last>Sozzi</b:Last>
            <b:First>Stefania</b:First>
          </b:Person>
          <b:Person>
            <b:Last>Decortes</b:Last>
            <b:First>Francesco</b:First>
          </b:Person>
          <b:Person>
            <b:Last>Schmid</b:Last>
            <b:First>Monica</b:First>
          </b:Person>
          <b:Person>
            <b:Last>Crisafulli</b:Last>
            <b:First>Oscar</b:First>
          </b:Person>
          <b:Person>
            <b:Last>Schieppati</b:Last>
            <b:First>Marco</b:First>
          </b:Person>
        </b:NameList>
      </b:Author>
    </b:Author>
    <b:JournalName>Frontiers in Neuroscience ,</b:JournalName>
    <b:RefOrder>3</b:RefOrder>
  </b:Source>
  <b:Source>
    <b:Tag>Vis16</b:Tag>
    <b:SourceType>JournalArticle</b:SourceType>
    <b:Guid>{26297CCF-CE11-41A9-98EF-221BE60DA4F4}</b:Guid>
    <b:Title>Vision and hearing impairments, cognitive impairment and mortality among long-term care recipients: a population-based cohort study</b:Title>
    <b:JournalName>BMC Geriatr</b:JournalName>
    <b:Year>2016</b:Year>
    <b:Volume>16</b:Volume>
    <b:Issue>112</b:Issue>
    <b:DOI>https://doi.org/10.1186/s12877-016-0286-2</b:DOI>
    <b:Author>
      <b:Author>
        <b:NameList>
          <b:Person>
            <b:Last>Mitoku</b:Last>
            <b:First>Kazuko</b:First>
          </b:Person>
          <b:Person>
            <b:Last>Masaki</b:Last>
            <b:First>Naoko</b:First>
          </b:Person>
          <b:Person>
            <b:Last>Ogata</b:Last>
            <b:First>Yukiko</b:First>
          </b:Person>
          <b:Person>
            <b:Last>Okamoto</b:Last>
            <b:First>Kazushi</b:First>
          </b:Person>
        </b:NameList>
      </b:Author>
    </b:Author>
    <b:RefOrder>1</b:RefOrder>
  </b:Source>
</b:Sources>
</file>

<file path=customXml/itemProps1.xml><?xml version="1.0" encoding="utf-8"?>
<ds:datastoreItem xmlns:ds="http://schemas.openxmlformats.org/officeDocument/2006/customXml" ds:itemID="{BA49C72F-1310-4B00-9D40-1C433B1D4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Kamande</cp:lastModifiedBy>
  <cp:revision>4</cp:revision>
  <dcterms:created xsi:type="dcterms:W3CDTF">2020-09-06T13:47:00Z</dcterms:created>
  <dcterms:modified xsi:type="dcterms:W3CDTF">2020-09-08T04:15:00Z</dcterms:modified>
</cp:coreProperties>
</file>